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27" w:rsidRPr="00041B27" w:rsidRDefault="00041B27" w:rsidP="0004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Рекомендации по заполнению информации о деятельности нотариальных палат субъектов Российской Федерации и нотариусов - членов нотариальной палаты субъекта</w:t>
      </w:r>
      <w:r w:rsidRPr="00041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B2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41B27" w:rsidRPr="00041B27" w:rsidRDefault="00041B27" w:rsidP="00041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20" w:firstLine="500"/>
        <w:rPr>
          <w:rStyle w:val="0pt"/>
          <w:rFonts w:eastAsia="Courier New"/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41. </w:t>
      </w:r>
      <w:r w:rsidRPr="00041B27">
        <w:rPr>
          <w:sz w:val="28"/>
          <w:szCs w:val="28"/>
        </w:rPr>
        <w:t xml:space="preserve">Указывается общее количество лиц, работающих у нотариуса по трудовому договору, </w:t>
      </w:r>
      <w:r w:rsidRPr="00041B27">
        <w:rPr>
          <w:rStyle w:val="1"/>
          <w:sz w:val="28"/>
          <w:szCs w:val="28"/>
        </w:rPr>
        <w:t>за исключением</w:t>
      </w:r>
      <w:r w:rsidRPr="00041B27">
        <w:rPr>
          <w:sz w:val="28"/>
          <w:szCs w:val="28"/>
        </w:rPr>
        <w:t xml:space="preserve"> помощников нотариуса (строка 40), стажеров (строка 47).</w:t>
      </w:r>
      <w:r w:rsidRPr="00041B27">
        <w:rPr>
          <w:rStyle w:val="0pt"/>
          <w:rFonts w:eastAsia="Courier New"/>
          <w:sz w:val="28"/>
          <w:szCs w:val="28"/>
        </w:rPr>
        <w:t xml:space="preserve"> 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20" w:firstLine="50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94. </w:t>
      </w:r>
      <w:r w:rsidRPr="00041B27">
        <w:rPr>
          <w:sz w:val="28"/>
          <w:szCs w:val="28"/>
        </w:rPr>
        <w:t>Указывается общее количество лиц (помощников нотариусов, лиц, сдавших квалификационный экзамен), прошедших обучение по программам ПОД/ФТ.</w:t>
      </w:r>
    </w:p>
    <w:p w:rsidR="00041B27" w:rsidRPr="00041B27" w:rsidRDefault="00041B27" w:rsidP="00041B27">
      <w:pPr>
        <w:pStyle w:val="2"/>
        <w:shd w:val="clear" w:color="auto" w:fill="auto"/>
        <w:tabs>
          <w:tab w:val="center" w:pos="6450"/>
          <w:tab w:val="right" w:pos="8556"/>
        </w:tabs>
        <w:spacing w:before="0" w:line="240" w:lineRule="auto"/>
        <w:ind w:left="20" w:right="2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Обязанность нотариуса пройти обучение в форме однократного целевого инструктажа установлена Постановлением Правительства Российской Федерации от 29 мая 2014 года №492 «О квалификационных требованиях к специальным должностным лицам, ответственным за реализацию правил внутреннего контроля, а также требованиях к подготовке и обучению кадров, идентификации клиентов, представителей клиента, выгодоприобретателей и </w:t>
      </w:r>
      <w:proofErr w:type="spellStart"/>
      <w:r w:rsidRPr="00041B27">
        <w:rPr>
          <w:sz w:val="28"/>
          <w:szCs w:val="28"/>
        </w:rPr>
        <w:t>бенефициарных</w:t>
      </w:r>
      <w:proofErr w:type="spellEnd"/>
      <w:r w:rsidRPr="00041B27">
        <w:rPr>
          <w:sz w:val="28"/>
          <w:szCs w:val="28"/>
        </w:rPr>
        <w:t xml:space="preserve"> владельцев в целях противодействия легализации (отмыванию) доходов,</w:t>
      </w:r>
      <w:r w:rsidRPr="00041B27">
        <w:rPr>
          <w:sz w:val="28"/>
          <w:szCs w:val="28"/>
        </w:rPr>
        <w:tab/>
        <w:t xml:space="preserve"> полученных преступным путем, и финансированию терроризма и признании утратившими силу некоторых актов Правительства Российской Федерации».</w:t>
      </w:r>
    </w:p>
    <w:p w:rsidR="00041B27" w:rsidRPr="00041B27" w:rsidRDefault="00041B27" w:rsidP="00041B27">
      <w:pPr>
        <w:pStyle w:val="2"/>
        <w:shd w:val="clear" w:color="auto" w:fill="auto"/>
        <w:tabs>
          <w:tab w:val="center" w:pos="6450"/>
          <w:tab w:val="right" w:pos="8556"/>
        </w:tabs>
        <w:spacing w:before="0" w:line="240" w:lineRule="auto"/>
        <w:ind w:left="20" w:right="2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Обучение в форме целевого инструктажа лицо, планирующее осуществлять функции специального должностного лица, проходит однократно до начала осуществления таких функций. Кроме того, приказом </w:t>
      </w:r>
      <w:proofErr w:type="spellStart"/>
      <w:r w:rsidRPr="00041B27">
        <w:rPr>
          <w:sz w:val="28"/>
          <w:szCs w:val="28"/>
        </w:rPr>
        <w:t>Росфинмониторинга</w:t>
      </w:r>
      <w:proofErr w:type="spellEnd"/>
      <w:r w:rsidRPr="00041B27">
        <w:rPr>
          <w:sz w:val="28"/>
          <w:szCs w:val="28"/>
        </w:rPr>
        <w:t xml:space="preserve"> от 03.08.2010 №203 «Об утверждении положения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терроризма» установлены требования по повышению уровня знаний (не реже одного раза в три года).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20" w:firstLine="500"/>
        <w:rPr>
          <w:sz w:val="28"/>
          <w:szCs w:val="28"/>
        </w:rPr>
      </w:pPr>
      <w:r w:rsidRPr="00041B27">
        <w:rPr>
          <w:sz w:val="28"/>
          <w:szCs w:val="28"/>
        </w:rPr>
        <w:t>В письме Федеральной нотариальной палаты (исх. от 18.07.2017 № 3107/06-06) рекомендовано нотариальным палатам в целях повышения уровня участия нотариусов в системе противодействия легализации (отмыванию) доходов, полученных преступным путем, и финансированию терроризма (ПОД/ФТ), по решению нотариальной палаты проводить дополнительный инструктаж либо как самостоятельное мероприятие, либо в рамках периодического повышения квалификации нотариусов, помощников нотариусов.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95. </w:t>
      </w:r>
      <w:r w:rsidRPr="00041B27">
        <w:rPr>
          <w:sz w:val="28"/>
          <w:szCs w:val="28"/>
        </w:rPr>
        <w:t>Указывается количество лиц, прошедших обучение по программам ПОД/ФТ, в виде целевого инструктажа.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96. </w:t>
      </w:r>
      <w:r w:rsidRPr="00041B27">
        <w:rPr>
          <w:sz w:val="28"/>
          <w:szCs w:val="28"/>
        </w:rPr>
        <w:t>Указывается количество лиц, прошедших обучение по программам ПОД/ФТ, в рамках повышения квалификации помощников нотариусов.</w:t>
      </w:r>
    </w:p>
    <w:p w:rsidR="006D02A2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Строки 115-128. </w:t>
      </w:r>
      <w:r w:rsidRPr="00041B27">
        <w:rPr>
          <w:sz w:val="28"/>
          <w:szCs w:val="28"/>
        </w:rPr>
        <w:t xml:space="preserve">Указанные строки заполняются с учетом данных о наличии нотариальных архивов.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 xml:space="preserve">пояснительной записке указывается дополнительная информация об архивах, а также принимаемых мерах по его </w:t>
      </w:r>
      <w:r w:rsidRPr="00041B27">
        <w:rPr>
          <w:sz w:val="28"/>
          <w:szCs w:val="28"/>
        </w:rPr>
        <w:lastRenderedPageBreak/>
        <w:t>хранению, содержанию и обслуживанию.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Строки </w:t>
      </w:r>
      <w:r w:rsidRPr="00041B27">
        <w:rPr>
          <w:rStyle w:val="1"/>
          <w:rFonts w:eastAsia="Microsoft Sans Serif"/>
          <w:b/>
          <w:sz w:val="28"/>
          <w:szCs w:val="28"/>
        </w:rPr>
        <w:t>122</w:t>
      </w:r>
      <w:r w:rsidRPr="00041B27">
        <w:rPr>
          <w:rStyle w:val="1"/>
          <w:b/>
          <w:sz w:val="28"/>
          <w:szCs w:val="28"/>
        </w:rPr>
        <w:t xml:space="preserve"> - 126</w:t>
      </w:r>
      <w:r w:rsidRPr="00041B27">
        <w:rPr>
          <w:rStyle w:val="1"/>
          <w:sz w:val="28"/>
          <w:szCs w:val="28"/>
        </w:rPr>
        <w:t>.</w:t>
      </w:r>
      <w:r w:rsidRPr="00041B27">
        <w:rPr>
          <w:sz w:val="28"/>
          <w:szCs w:val="28"/>
        </w:rPr>
        <w:t xml:space="preserve"> Под единицей хранения понимается 1 наряд (том) документов. Постоянный срок хранения - 75 и более лет.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128.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>указанную строку включаются расходы, понесенные нотариусом, на содержание архива нотариальных документов.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130.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>данной строке указывается сумма страхования риска профессиональной ответственности нотариуса в размере 1.500.000 рублей и до 2.000.000 рублей.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131.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>данной строке указывается сумма страхования риска профессиональной ответственности нотариуса в размере 2 000 000 рублей и до 5 000 000 рублей.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132.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>данной строке указывается сумма страхования риска профессиональной ответственности нотариуса в размере 5 000 000 рублей.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rStyle w:val="0pt"/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133.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>данной строке указывается сумма страхования риска профессиональной ответственности нотариуса в размере от 5 000 000 рублей до 10 000 000 рублей включительно.</w:t>
      </w:r>
      <w:r w:rsidRPr="00041B27">
        <w:rPr>
          <w:rStyle w:val="0pt"/>
          <w:sz w:val="28"/>
          <w:szCs w:val="28"/>
        </w:rPr>
        <w:t xml:space="preserve"> 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134.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 xml:space="preserve">данной строке указывается сумма страхования риска профессиональной ответственности нотариуса в размере </w:t>
      </w:r>
      <w:r w:rsidRPr="00041B27">
        <w:rPr>
          <w:rStyle w:val="0pt"/>
          <w:sz w:val="28"/>
          <w:szCs w:val="28"/>
        </w:rPr>
        <w:t xml:space="preserve">свыше 10 000 000 </w:t>
      </w:r>
      <w:r w:rsidRPr="00041B27">
        <w:rPr>
          <w:sz w:val="28"/>
          <w:szCs w:val="28"/>
        </w:rPr>
        <w:t>рублей.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135.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>данной строке указывается количество страховых случаев по договорам страхования гражданской ответственности нотариуса. Страховым случаем по договору страхования гражданской ответственности нотариуса является установленный вступившим в законную силу решением суда или признанный страховщиком факт причинения имущественного вреда гражданину или юридическому лицу действиями (бездействием) нотариуса, в результате совершения нотариального действия, противоречащего законодательству Российской Федерации, либо неправомерного отказа в совершении нотариального действия, подтвержденного постановлением нотариуса, а также разглашения сведений о совершенном нотариальном действии.</w:t>
      </w:r>
    </w:p>
    <w:p w:rsidR="00041B27" w:rsidRPr="00041B27" w:rsidRDefault="00041B27" w:rsidP="00041B27">
      <w:pPr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 пояснительной записке необходимо кратко описать страховой случай, причину наступления страхового случая, размер ущерба, основания страхового возмещения.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175. </w:t>
      </w:r>
      <w:r w:rsidRPr="00041B27">
        <w:rPr>
          <w:sz w:val="28"/>
          <w:szCs w:val="28"/>
        </w:rPr>
        <w:t>Через дробь указывается количество проведенных благотворительных мероприятий и суммы денежных средств, выделенных нотариальными палатами и нотариусами на указанные мероприятия (например, 4/80 000). В пояснительной записке указывается: кому, на какой основе, в каком виде (финансовые пожертвования, материальное участие, личное участие и т.д.) нотариальная палата оказала благотворительную помощь.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226. В </w:t>
      </w:r>
      <w:r w:rsidRPr="00041B27">
        <w:rPr>
          <w:sz w:val="28"/>
          <w:szCs w:val="28"/>
        </w:rPr>
        <w:t>пояснительной записке указывается основание для возбуждения уголовного дела в отношении нотариуса в связи с совершением нотариального действия.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</w:t>
      </w:r>
      <w:r w:rsidRPr="00041B27">
        <w:rPr>
          <w:rStyle w:val="1"/>
          <w:b/>
          <w:sz w:val="28"/>
          <w:szCs w:val="28"/>
          <w:u w:val="none"/>
        </w:rPr>
        <w:t>230</w:t>
      </w:r>
      <w:r w:rsidRPr="00041B27">
        <w:rPr>
          <w:rStyle w:val="1"/>
          <w:sz w:val="28"/>
          <w:szCs w:val="28"/>
          <w:u w:val="none"/>
        </w:rPr>
        <w:t>.</w:t>
      </w:r>
      <w:r w:rsidRPr="00041B27">
        <w:rPr>
          <w:sz w:val="28"/>
          <w:szCs w:val="28"/>
        </w:rPr>
        <w:t xml:space="preserve"> В пояснительной записке указывается основание для возбуждения уголовного дела в отношении лица, замещающего временно </w:t>
      </w:r>
      <w:r w:rsidRPr="00041B27">
        <w:rPr>
          <w:sz w:val="28"/>
          <w:szCs w:val="28"/>
        </w:rPr>
        <w:lastRenderedPageBreak/>
        <w:t>отсутствующего нотариуса.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234 - 236. </w:t>
      </w:r>
      <w:r w:rsidRPr="00041B27">
        <w:rPr>
          <w:sz w:val="28"/>
          <w:szCs w:val="28"/>
        </w:rPr>
        <w:t>В пояснительной записке указываются причины предъявления к нотариусу иска о материальной ответственности.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239.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 xml:space="preserve">данной строке к показателю, полученному при автоматическом подсчете ЕИС, </w:t>
      </w:r>
      <w:r w:rsidRPr="00041B27">
        <w:rPr>
          <w:rStyle w:val="0pt"/>
          <w:sz w:val="28"/>
          <w:szCs w:val="28"/>
        </w:rPr>
        <w:t>на выбор:</w:t>
      </w:r>
    </w:p>
    <w:p w:rsidR="00041B27" w:rsidRPr="00041B27" w:rsidRDefault="00041B27" w:rsidP="00041B27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самостоятельно прибавить </w:t>
      </w:r>
      <w:r w:rsidRPr="00041B27">
        <w:rPr>
          <w:sz w:val="28"/>
          <w:szCs w:val="28"/>
        </w:rPr>
        <w:t>невнесенное в реестр нотариальных действий ЕИС количество: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041B27">
        <w:rPr>
          <w:sz w:val="28"/>
          <w:szCs w:val="28"/>
        </w:rPr>
        <w:t>-</w:t>
      </w:r>
      <w:r w:rsidRPr="00041B27">
        <w:rPr>
          <w:sz w:val="28"/>
          <w:szCs w:val="28"/>
        </w:rPr>
        <w:tab/>
        <w:t>уведомлений о залоге движимого имущества;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firstLine="520"/>
        <w:rPr>
          <w:sz w:val="28"/>
          <w:szCs w:val="28"/>
        </w:rPr>
      </w:pPr>
      <w:r w:rsidRPr="00041B27">
        <w:rPr>
          <w:sz w:val="28"/>
          <w:szCs w:val="28"/>
        </w:rPr>
        <w:t>выписок из реестра уведомлений о залоге движимого имущества;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внесенных сведений в реестр списков участников обществ с ограниченной ответственностью ЕИС; 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sz w:val="28"/>
          <w:szCs w:val="28"/>
        </w:rPr>
        <w:t>выписок из реестра списков участников обществ с ограниченной ответственностью ЕИС,</w:t>
      </w:r>
    </w:p>
    <w:p w:rsidR="00041B27" w:rsidRPr="00041B27" w:rsidRDefault="00041B27" w:rsidP="00041B27">
      <w:pPr>
        <w:numPr>
          <w:ilvl w:val="0"/>
          <w:numId w:val="1"/>
        </w:numPr>
        <w:tabs>
          <w:tab w:val="left" w:pos="922"/>
        </w:tabs>
        <w:ind w:left="40" w:right="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в информационном окне «Параметры пересчета» при пересчете значений полей отчета по формулам шаблона добавить автоматическое внесение показателей: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уведомлений о залоге движимого имущества;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выписок из реестра уведомлений о залоге движимого имущества;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внесенных сведений в реестр списков участников обществ с ограниченной ответственностью ЕИС;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выписок из реестра списков участников обществ с ограниченной ответственностью ЕИС.</w:t>
      </w:r>
    </w:p>
    <w:p w:rsidR="00041B27" w:rsidRPr="00041B27" w:rsidRDefault="00041B27" w:rsidP="00041B27">
      <w:pPr>
        <w:rPr>
          <w:noProof/>
          <w:sz w:val="28"/>
          <w:szCs w:val="28"/>
          <w:lang w:bidi="ar-SA"/>
        </w:rPr>
      </w:pPr>
    </w:p>
    <w:p w:rsidR="00041B27" w:rsidRDefault="00041B27">
      <w:r>
        <w:rPr>
          <w:noProof/>
          <w:sz w:val="2"/>
          <w:szCs w:val="2"/>
          <w:lang w:bidi="ar-SA"/>
        </w:rPr>
        <w:drawing>
          <wp:inline distT="0" distB="0" distL="0" distR="0" wp14:anchorId="395D3734" wp14:editId="481BA3DA">
            <wp:extent cx="5308463" cy="2144997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23" cy="215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B27" w:rsidRDefault="00041B27" w:rsidP="00041B27">
      <w:pPr>
        <w:pStyle w:val="21"/>
        <w:shd w:val="clear" w:color="auto" w:fill="auto"/>
        <w:spacing w:line="230" w:lineRule="exact"/>
      </w:pPr>
    </w:p>
    <w:p w:rsidR="00041B27" w:rsidRPr="00041B27" w:rsidRDefault="00041B27" w:rsidP="00041B27">
      <w:pPr>
        <w:pStyle w:val="2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041B27">
        <w:rPr>
          <w:sz w:val="28"/>
          <w:szCs w:val="28"/>
        </w:rPr>
        <w:t>Внимание! Для корректного подсчета показателя в данной строке</w:t>
      </w:r>
      <w:r w:rsidRPr="00041B27">
        <w:rPr>
          <w:sz w:val="28"/>
          <w:szCs w:val="28"/>
        </w:rPr>
        <w:t xml:space="preserve"> </w:t>
      </w:r>
      <w:r w:rsidRPr="00041B27">
        <w:rPr>
          <w:sz w:val="28"/>
          <w:szCs w:val="28"/>
        </w:rPr>
        <w:t>необходимо воспользоваться одним из двух перечисленных выше способов.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firstLine="50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Строки 293 - 298. </w:t>
      </w:r>
      <w:r w:rsidRPr="00041B27">
        <w:rPr>
          <w:rStyle w:val="0pt"/>
          <w:b w:val="0"/>
          <w:sz w:val="28"/>
          <w:szCs w:val="28"/>
        </w:rPr>
        <w:t xml:space="preserve">В </w:t>
      </w:r>
      <w:r w:rsidRPr="00041B27">
        <w:rPr>
          <w:sz w:val="28"/>
          <w:szCs w:val="28"/>
        </w:rPr>
        <w:t xml:space="preserve">данных строках показатели указываются </w:t>
      </w:r>
      <w:r w:rsidRPr="00041B27">
        <w:rPr>
          <w:rStyle w:val="0pt"/>
          <w:sz w:val="28"/>
          <w:szCs w:val="28"/>
        </w:rPr>
        <w:t>в рублях.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Строка 305. </w:t>
      </w:r>
      <w:r w:rsidRPr="00041B27">
        <w:rPr>
          <w:sz w:val="28"/>
          <w:szCs w:val="28"/>
        </w:rPr>
        <w:t xml:space="preserve">В данной строке к показателю, полученному при автоматическом подсчете ЕИС, </w:t>
      </w:r>
      <w:r w:rsidRPr="00041B27">
        <w:rPr>
          <w:rStyle w:val="0pt"/>
          <w:sz w:val="28"/>
          <w:szCs w:val="28"/>
        </w:rPr>
        <w:t>на выбор:</w:t>
      </w:r>
    </w:p>
    <w:p w:rsidR="00041B27" w:rsidRPr="00041B27" w:rsidRDefault="00041B27" w:rsidP="00041B27">
      <w:pPr>
        <w:pStyle w:val="2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rStyle w:val="0pt"/>
          <w:sz w:val="28"/>
          <w:szCs w:val="28"/>
        </w:rPr>
        <w:t xml:space="preserve"> самостоятельно прибавить </w:t>
      </w:r>
      <w:r w:rsidRPr="00041B27">
        <w:rPr>
          <w:sz w:val="28"/>
          <w:szCs w:val="28"/>
        </w:rPr>
        <w:t>невнесенное в реестр нотариальных действий ЕИС количество: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уведомлений о залоге движимого имущества;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выписок из реестра уведомлений о залоге движимого имущества;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внесенных сведений в реестр списков участников обществ с </w:t>
      </w:r>
      <w:r w:rsidRPr="00041B27">
        <w:rPr>
          <w:sz w:val="28"/>
          <w:szCs w:val="28"/>
        </w:rPr>
        <w:lastRenderedPageBreak/>
        <w:t>ограниченной ответственностью ЕИС;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righ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выписок из реестра списков участников обществ с ограниченной ответственностью</w:t>
      </w:r>
      <w:r>
        <w:t xml:space="preserve"> </w:t>
      </w:r>
      <w:r w:rsidRPr="00041B27">
        <w:rPr>
          <w:sz w:val="28"/>
          <w:szCs w:val="28"/>
        </w:rPr>
        <w:t>ЕИС,</w:t>
      </w:r>
    </w:p>
    <w:p w:rsidR="00041B27" w:rsidRPr="00041B27" w:rsidRDefault="00041B27" w:rsidP="00041B27">
      <w:pPr>
        <w:numPr>
          <w:ilvl w:val="0"/>
          <w:numId w:val="3"/>
        </w:numPr>
        <w:ind w:left="40" w:right="160" w:firstLine="500"/>
        <w:rPr>
          <w:rFonts w:ascii="Times New Roman" w:hAnsi="Times New Roman" w:cs="Times New Roman"/>
          <w:b/>
          <w:sz w:val="28"/>
          <w:szCs w:val="28"/>
        </w:rPr>
      </w:pPr>
      <w:r w:rsidRPr="00041B27">
        <w:rPr>
          <w:rFonts w:ascii="Times New Roman" w:hAnsi="Times New Roman" w:cs="Times New Roman"/>
          <w:b/>
          <w:sz w:val="28"/>
          <w:szCs w:val="28"/>
        </w:rPr>
        <w:t>в информационном окне «Параметры пересчета» при пересчете значений полей отчета по формулам шаблона добавить автоматическое внесение показателей: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уведомлений о залоге движимого имущества;</w:t>
      </w:r>
    </w:p>
    <w:p w:rsidR="00041B27" w:rsidRPr="00041B27" w:rsidRDefault="00041B27" w:rsidP="00041B27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40" w:firstLine="500"/>
        <w:rPr>
          <w:sz w:val="28"/>
          <w:szCs w:val="28"/>
        </w:rPr>
      </w:pPr>
      <w:r w:rsidRPr="00041B27">
        <w:rPr>
          <w:sz w:val="28"/>
          <w:szCs w:val="28"/>
        </w:rPr>
        <w:t xml:space="preserve"> выписок из реестра уведомлений о залоге движимого имущества;</w:t>
      </w:r>
    </w:p>
    <w:p w:rsidR="00041B27" w:rsidRPr="00041B27" w:rsidRDefault="00041B27" w:rsidP="00041B27">
      <w:pPr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-</w:t>
      </w:r>
      <w:r w:rsidRPr="00041B27">
        <w:rPr>
          <w:rFonts w:ascii="Times New Roman" w:hAnsi="Times New Roman" w:cs="Times New Roman"/>
          <w:sz w:val="28"/>
          <w:szCs w:val="28"/>
        </w:rPr>
        <w:tab/>
        <w:t xml:space="preserve"> внесенных сведений в реестр списков участников обществ с ограниченной ответственностью ЕИС;</w:t>
      </w:r>
    </w:p>
    <w:p w:rsidR="00041B27" w:rsidRPr="00041B27" w:rsidRDefault="00041B27" w:rsidP="00041B27">
      <w:pPr>
        <w:rPr>
          <w:rFonts w:ascii="Times New Roman" w:hAnsi="Times New Roman" w:cs="Times New Roman"/>
          <w:sz w:val="28"/>
          <w:szCs w:val="28"/>
        </w:rPr>
      </w:pPr>
      <w:r w:rsidRPr="00041B27">
        <w:rPr>
          <w:rFonts w:ascii="Times New Roman" w:hAnsi="Times New Roman" w:cs="Times New Roman"/>
          <w:sz w:val="28"/>
          <w:szCs w:val="28"/>
        </w:rPr>
        <w:t>-</w:t>
      </w:r>
      <w:r w:rsidRPr="00041B27">
        <w:rPr>
          <w:rFonts w:ascii="Times New Roman" w:hAnsi="Times New Roman" w:cs="Times New Roman"/>
          <w:sz w:val="28"/>
          <w:szCs w:val="28"/>
        </w:rPr>
        <w:tab/>
        <w:t xml:space="preserve"> выписок из реестра списков участников обществ с ограниченной ответственностью ЕИС.</w:t>
      </w:r>
    </w:p>
    <w:p w:rsidR="00041B27" w:rsidRDefault="00041B27">
      <w:r>
        <w:rPr>
          <w:noProof/>
          <w:lang w:bidi="ar-SA"/>
        </w:rPr>
        <w:drawing>
          <wp:inline distT="0" distB="0" distL="0" distR="0" wp14:anchorId="22A26AA6">
            <wp:extent cx="5309870" cy="214566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B27" w:rsidRPr="00041B27" w:rsidRDefault="00041B27" w:rsidP="00041B27">
      <w:pPr>
        <w:pStyle w:val="21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041B27">
        <w:rPr>
          <w:sz w:val="28"/>
          <w:szCs w:val="28"/>
        </w:rPr>
        <w:t>Внимание! Для корректного подсчета показателя в данной строке необходимо воспользоваться одним из двух перечисленных выше способов.</w:t>
      </w:r>
    </w:p>
    <w:p w:rsidR="00041B27" w:rsidRPr="00041B27" w:rsidRDefault="00041B27" w:rsidP="00041B27">
      <w:pPr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41B27">
        <w:rPr>
          <w:rStyle w:val="22"/>
          <w:rFonts w:eastAsia="Courier New"/>
          <w:b w:val="0"/>
          <w:bCs w:val="0"/>
          <w:sz w:val="28"/>
          <w:szCs w:val="28"/>
        </w:rPr>
        <w:t>Строка 311.</w:t>
      </w:r>
      <w:r w:rsidRPr="00041B27">
        <w:rPr>
          <w:rFonts w:ascii="Times New Roman" w:hAnsi="Times New Roman" w:cs="Times New Roman"/>
          <w:sz w:val="28"/>
          <w:szCs w:val="28"/>
        </w:rPr>
        <w:t xml:space="preserve"> </w:t>
      </w:r>
      <w:r w:rsidRPr="00041B27">
        <w:rPr>
          <w:rStyle w:val="20pt"/>
          <w:rFonts w:eastAsia="Courier New"/>
          <w:sz w:val="28"/>
          <w:szCs w:val="28"/>
        </w:rPr>
        <w:t xml:space="preserve">Указывается </w:t>
      </w:r>
      <w:r w:rsidRPr="00041B27">
        <w:rPr>
          <w:rFonts w:ascii="Times New Roman" w:hAnsi="Times New Roman" w:cs="Times New Roman"/>
          <w:sz w:val="28"/>
          <w:szCs w:val="28"/>
        </w:rPr>
        <w:t>количество сообщений нотариусов,</w:t>
      </w:r>
    </w:p>
    <w:p w:rsidR="00041B27" w:rsidRPr="00041B27" w:rsidRDefault="00041B27" w:rsidP="00041B27">
      <w:pPr>
        <w:pStyle w:val="2"/>
        <w:shd w:val="clear" w:color="auto" w:fill="auto"/>
        <w:tabs>
          <w:tab w:val="left" w:pos="5103"/>
        </w:tabs>
        <w:spacing w:before="0" w:line="240" w:lineRule="auto"/>
        <w:ind w:left="20" w:right="20"/>
        <w:rPr>
          <w:sz w:val="28"/>
          <w:szCs w:val="28"/>
        </w:rPr>
      </w:pPr>
      <w:r w:rsidRPr="00041B27">
        <w:rPr>
          <w:sz w:val="28"/>
          <w:szCs w:val="28"/>
        </w:rPr>
        <w:t xml:space="preserve">направленных в Федеральную службу по финансовому мониторингу (Федеральный </w:t>
      </w:r>
      <w:r>
        <w:rPr>
          <w:sz w:val="28"/>
          <w:szCs w:val="28"/>
        </w:rPr>
        <w:t xml:space="preserve">закон от 07.08.2001 № </w:t>
      </w:r>
      <w:bookmarkStart w:id="0" w:name="_GoBack"/>
      <w:bookmarkEnd w:id="0"/>
      <w:r w:rsidRPr="00041B27">
        <w:rPr>
          <w:sz w:val="28"/>
          <w:szCs w:val="28"/>
        </w:rPr>
        <w:t>115-ФЗ «О противодействии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041B27">
        <w:rPr>
          <w:sz w:val="28"/>
          <w:szCs w:val="28"/>
        </w:rPr>
        <w:t>легализации (отмыванию) доходов, полученных преступным путем, и финансированию терроризма»).</w:t>
      </w:r>
    </w:p>
    <w:p w:rsidR="00041B27" w:rsidRPr="00041B27" w:rsidRDefault="00041B27" w:rsidP="00041B27">
      <w:pPr>
        <w:pStyle w:val="2"/>
        <w:shd w:val="clear" w:color="auto" w:fill="auto"/>
        <w:spacing w:before="0" w:line="240" w:lineRule="auto"/>
        <w:ind w:left="20" w:right="20" w:firstLine="520"/>
        <w:rPr>
          <w:sz w:val="28"/>
          <w:szCs w:val="28"/>
        </w:rPr>
      </w:pPr>
      <w:r w:rsidRPr="00041B27">
        <w:rPr>
          <w:rStyle w:val="1"/>
          <w:sz w:val="28"/>
          <w:szCs w:val="28"/>
        </w:rPr>
        <w:t>Строка 313</w:t>
      </w:r>
      <w:r w:rsidRPr="00041B27">
        <w:rPr>
          <w:sz w:val="28"/>
          <w:szCs w:val="28"/>
        </w:rPr>
        <w:t>. Указывается количество совмещенных нотариальных контор, в помещении которых осуществляют свою деятельность сразу несколько нотариусов попеременно.</w:t>
      </w:r>
    </w:p>
    <w:p w:rsidR="00041B27" w:rsidRDefault="00041B27"/>
    <w:sectPr w:rsidR="0004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4FD"/>
    <w:multiLevelType w:val="multilevel"/>
    <w:tmpl w:val="759ED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A7E15"/>
    <w:multiLevelType w:val="multilevel"/>
    <w:tmpl w:val="6A2A4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4769D"/>
    <w:multiLevelType w:val="multilevel"/>
    <w:tmpl w:val="5426A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27"/>
    <w:rsid w:val="00041B27"/>
    <w:rsid w:val="006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56D6B-3300-4F94-83CA-808C9E67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1B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41B2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041B27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041B27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41B27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color w:val="auto"/>
      <w:spacing w:val="2"/>
      <w:sz w:val="23"/>
      <w:szCs w:val="23"/>
      <w:lang w:eastAsia="en-US" w:bidi="ar-SA"/>
    </w:rPr>
  </w:style>
  <w:style w:type="character" w:customStyle="1" w:styleId="20">
    <w:name w:val="Подпись к картинке (2)_"/>
    <w:basedOn w:val="a0"/>
    <w:link w:val="21"/>
    <w:rsid w:val="00041B2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041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3"/>
      <w:szCs w:val="23"/>
      <w:lang w:eastAsia="en-US" w:bidi="ar-SA"/>
    </w:rPr>
  </w:style>
  <w:style w:type="character" w:customStyle="1" w:styleId="20pt">
    <w:name w:val="Основной текст (2) + Не полужирный;Интервал 0 pt"/>
    <w:basedOn w:val="a0"/>
    <w:rsid w:val="00041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041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2020-12-10T08:36:00Z</dcterms:created>
  <dcterms:modified xsi:type="dcterms:W3CDTF">2020-12-10T08:47:00Z</dcterms:modified>
</cp:coreProperties>
</file>